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4140"/>
        <w:gridCol w:w="6120"/>
      </w:tblGrid>
      <w:tr w:rsidR="00F62D86" w:rsidRPr="00F62D86" w14:paraId="7F654F35" w14:textId="77777777" w:rsidTr="00C176A4">
        <w:trPr>
          <w:trHeight w:val="817"/>
        </w:trPr>
        <w:tc>
          <w:tcPr>
            <w:tcW w:w="10260" w:type="dxa"/>
            <w:gridSpan w:val="2"/>
          </w:tcPr>
          <w:p w14:paraId="512AD0C1" w14:textId="77777777" w:rsidR="00487368" w:rsidRPr="00F62D86" w:rsidRDefault="00487368" w:rsidP="00C176A4">
            <w:pPr>
              <w:tabs>
                <w:tab w:val="left" w:pos="3832"/>
              </w:tabs>
              <w:jc w:val="center"/>
              <w:rPr>
                <w:b/>
              </w:rPr>
            </w:pPr>
            <w:r w:rsidRPr="00F62D86">
              <w:rPr>
                <w:b/>
              </w:rPr>
              <w:t>OBRAZAC</w:t>
            </w:r>
          </w:p>
          <w:p w14:paraId="7297695B" w14:textId="77777777" w:rsidR="00487368" w:rsidRPr="00F62D86" w:rsidRDefault="00485374" w:rsidP="00C176A4">
            <w:pPr>
              <w:jc w:val="center"/>
              <w:rPr>
                <w:b/>
              </w:rPr>
            </w:pPr>
            <w:r w:rsidRPr="00F62D86">
              <w:rPr>
                <w:b/>
              </w:rPr>
              <w:t>i</w:t>
            </w:r>
            <w:r w:rsidR="00487368" w:rsidRPr="00F62D86">
              <w:rPr>
                <w:b/>
              </w:rPr>
              <w:t>zvješća</w:t>
            </w:r>
            <w:r w:rsidR="009A5822" w:rsidRPr="00F62D86">
              <w:rPr>
                <w:b/>
              </w:rPr>
              <w:t xml:space="preserve"> o provedenom savjetovanju s </w:t>
            </w:r>
            <w:r w:rsidR="00487368" w:rsidRPr="00F62D86">
              <w:rPr>
                <w:b/>
              </w:rPr>
              <w:t>javnošću</w:t>
            </w:r>
          </w:p>
          <w:p w14:paraId="35B1C1D1" w14:textId="77777777" w:rsidR="00487368" w:rsidRPr="00F62D86" w:rsidRDefault="00487368" w:rsidP="00487368"/>
        </w:tc>
      </w:tr>
      <w:tr w:rsidR="00F62D86" w:rsidRPr="00F62D86" w14:paraId="392FB8F1" w14:textId="77777777" w:rsidTr="00C176A4">
        <w:trPr>
          <w:trHeight w:val="500"/>
        </w:trPr>
        <w:tc>
          <w:tcPr>
            <w:tcW w:w="4140" w:type="dxa"/>
            <w:tcBorders>
              <w:right w:val="single" w:sz="4" w:space="0" w:color="auto"/>
            </w:tcBorders>
            <w:vAlign w:val="center"/>
          </w:tcPr>
          <w:p w14:paraId="6C9C8DC0" w14:textId="77777777" w:rsidR="00487368" w:rsidRPr="00F62D86" w:rsidRDefault="00487368" w:rsidP="00487368">
            <w:pPr>
              <w:rPr>
                <w:b/>
              </w:rPr>
            </w:pPr>
            <w:r w:rsidRPr="00F62D86">
              <w:rPr>
                <w:b/>
              </w:rPr>
              <w:t xml:space="preserve">Naziv nacrta odluke ili drugog općeg akta o kojem je savjetovanje provedeno </w:t>
            </w:r>
          </w:p>
        </w:tc>
        <w:tc>
          <w:tcPr>
            <w:tcW w:w="6120" w:type="dxa"/>
            <w:tcBorders>
              <w:left w:val="single" w:sz="4" w:space="0" w:color="auto"/>
            </w:tcBorders>
            <w:vAlign w:val="center"/>
          </w:tcPr>
          <w:p w14:paraId="4CF6F55C" w14:textId="77777777" w:rsidR="006555AE" w:rsidRPr="00F350BB" w:rsidRDefault="00B53450" w:rsidP="00C176A4">
            <w:pPr>
              <w:jc w:val="both"/>
              <w:rPr>
                <w:bCs/>
              </w:rPr>
            </w:pPr>
            <w:r>
              <w:rPr>
                <w:bCs/>
              </w:rPr>
              <w:t>Odluka o utvrđivanju lokacija za kupanje i trajanja sezone za kupanje u 2026.</w:t>
            </w:r>
          </w:p>
        </w:tc>
      </w:tr>
      <w:tr w:rsidR="00F62D86" w:rsidRPr="00F62D86" w14:paraId="41EF40F3" w14:textId="77777777" w:rsidTr="00C176A4">
        <w:trPr>
          <w:trHeight w:val="932"/>
        </w:trPr>
        <w:tc>
          <w:tcPr>
            <w:tcW w:w="4140" w:type="dxa"/>
            <w:tcBorders>
              <w:right w:val="single" w:sz="4" w:space="0" w:color="auto"/>
            </w:tcBorders>
            <w:vAlign w:val="center"/>
          </w:tcPr>
          <w:p w14:paraId="76D6CC51" w14:textId="77777777" w:rsidR="00487368" w:rsidRPr="00F62D86" w:rsidRDefault="00487368" w:rsidP="00487368">
            <w:pPr>
              <w:rPr>
                <w:b/>
              </w:rPr>
            </w:pPr>
            <w:r w:rsidRPr="00F62D86">
              <w:rPr>
                <w:b/>
              </w:rPr>
              <w:t>Nositelj izrade nacrta akta (gradsko upravno tijelo koje je provelo savjetovanje)</w:t>
            </w:r>
          </w:p>
        </w:tc>
        <w:tc>
          <w:tcPr>
            <w:tcW w:w="6120" w:type="dxa"/>
            <w:tcBorders>
              <w:left w:val="single" w:sz="4" w:space="0" w:color="auto"/>
            </w:tcBorders>
            <w:vAlign w:val="center"/>
          </w:tcPr>
          <w:p w14:paraId="2969264E" w14:textId="77777777" w:rsidR="00487368" w:rsidRPr="00F350BB" w:rsidRDefault="00F350BB" w:rsidP="00F350BB">
            <w:pPr>
              <w:jc w:val="both"/>
              <w:rPr>
                <w:bCs/>
              </w:rPr>
            </w:pPr>
            <w:r w:rsidRPr="00F350BB">
              <w:rPr>
                <w:bCs/>
              </w:rPr>
              <w:t>Gradski ured za socijalnu zaštitu, zdravstvo, branitelje i osobe  s invaliditetom</w:t>
            </w:r>
          </w:p>
        </w:tc>
      </w:tr>
      <w:tr w:rsidR="00F62D86" w:rsidRPr="00F62D86" w14:paraId="676AFD9F" w14:textId="77777777" w:rsidTr="00C176A4">
        <w:trPr>
          <w:trHeight w:val="561"/>
        </w:trPr>
        <w:tc>
          <w:tcPr>
            <w:tcW w:w="4140" w:type="dxa"/>
            <w:tcBorders>
              <w:right w:val="single" w:sz="4" w:space="0" w:color="auto"/>
            </w:tcBorders>
            <w:vAlign w:val="center"/>
          </w:tcPr>
          <w:p w14:paraId="129B701D" w14:textId="77777777" w:rsidR="00487368" w:rsidRPr="00F62D86" w:rsidRDefault="00487368" w:rsidP="00C176A4">
            <w:pPr>
              <w:jc w:val="both"/>
              <w:rPr>
                <w:b/>
              </w:rPr>
            </w:pPr>
            <w:r w:rsidRPr="00F62D86">
              <w:rPr>
                <w:b/>
              </w:rPr>
              <w:t>Vrijeme trajanja savjetovanja</w:t>
            </w:r>
          </w:p>
        </w:tc>
        <w:tc>
          <w:tcPr>
            <w:tcW w:w="6120" w:type="dxa"/>
            <w:tcBorders>
              <w:left w:val="single" w:sz="4" w:space="0" w:color="auto"/>
            </w:tcBorders>
            <w:vAlign w:val="center"/>
          </w:tcPr>
          <w:p w14:paraId="7028C719" w14:textId="628F9C32" w:rsidR="00487368" w:rsidRPr="00F350BB" w:rsidRDefault="006A6D01" w:rsidP="00F350BB">
            <w:pPr>
              <w:rPr>
                <w:bCs/>
              </w:rPr>
            </w:pPr>
            <w:r>
              <w:rPr>
                <w:bCs/>
              </w:rPr>
              <w:t>17.04.</w:t>
            </w:r>
            <w:r w:rsidR="00DD015E">
              <w:rPr>
                <w:bCs/>
              </w:rPr>
              <w:t>2026. -</w:t>
            </w:r>
            <w:r>
              <w:rPr>
                <w:bCs/>
              </w:rPr>
              <w:t xml:space="preserve"> 18.05.2026.</w:t>
            </w:r>
          </w:p>
        </w:tc>
      </w:tr>
      <w:tr w:rsidR="00F62D86" w:rsidRPr="00F62D86" w14:paraId="10A4588B" w14:textId="77777777" w:rsidTr="00C176A4">
        <w:trPr>
          <w:trHeight w:val="561"/>
        </w:trPr>
        <w:tc>
          <w:tcPr>
            <w:tcW w:w="4140" w:type="dxa"/>
            <w:tcBorders>
              <w:right w:val="single" w:sz="4" w:space="0" w:color="auto"/>
            </w:tcBorders>
            <w:vAlign w:val="center"/>
          </w:tcPr>
          <w:p w14:paraId="0E909A33" w14:textId="77777777" w:rsidR="00487368" w:rsidRPr="00F62D86" w:rsidRDefault="00487368" w:rsidP="00C176A4">
            <w:pPr>
              <w:jc w:val="both"/>
              <w:rPr>
                <w:b/>
              </w:rPr>
            </w:pPr>
            <w:r w:rsidRPr="00F62D86">
              <w:rPr>
                <w:b/>
              </w:rPr>
              <w:t xml:space="preserve">Metoda savjetovanja </w:t>
            </w:r>
          </w:p>
        </w:tc>
        <w:tc>
          <w:tcPr>
            <w:tcW w:w="6120" w:type="dxa"/>
            <w:tcBorders>
              <w:left w:val="single" w:sz="4" w:space="0" w:color="auto"/>
            </w:tcBorders>
            <w:vAlign w:val="center"/>
          </w:tcPr>
          <w:p w14:paraId="5C785D68" w14:textId="77777777" w:rsidR="00487368" w:rsidRPr="00F62D86" w:rsidRDefault="00423E43" w:rsidP="00C176A4">
            <w:pPr>
              <w:jc w:val="both"/>
            </w:pPr>
            <w:r w:rsidRPr="00F62D86">
              <w:t>Internetsko savjetovanje</w:t>
            </w:r>
          </w:p>
        </w:tc>
      </w:tr>
    </w:tbl>
    <w:p w14:paraId="0BE58658" w14:textId="77777777" w:rsidR="006555AE" w:rsidRDefault="006555AE" w:rsidP="00487368"/>
    <w:p w14:paraId="7F5F9A22" w14:textId="77777777" w:rsidR="009E0B1F" w:rsidRDefault="009E0B1F" w:rsidP="009E0B1F">
      <w:pPr>
        <w:jc w:val="center"/>
        <w:rPr>
          <w:b/>
        </w:rPr>
      </w:pPr>
    </w:p>
    <w:p w14:paraId="11A90516" w14:textId="77777777" w:rsidR="009E0B1F" w:rsidRDefault="009E0B1F" w:rsidP="009E0B1F">
      <w:pPr>
        <w:jc w:val="both"/>
      </w:pPr>
    </w:p>
    <w:p w14:paraId="1C34E4DA" w14:textId="77777777" w:rsidR="009E0B1F" w:rsidRDefault="009E0B1F" w:rsidP="009E0B1F">
      <w:pPr>
        <w:jc w:val="both"/>
      </w:pPr>
      <w:r>
        <w:t xml:space="preserve">Za vrijeme trajanja internetskog savjetovanja o </w:t>
      </w:r>
      <w:r>
        <w:rPr>
          <w:rFonts w:eastAsia="Calibri"/>
          <w:lang w:eastAsia="en-US"/>
        </w:rPr>
        <w:t>N</w:t>
      </w:r>
      <w:r w:rsidRPr="00721A40">
        <w:rPr>
          <w:rFonts w:eastAsia="Calibri"/>
          <w:lang w:eastAsia="en-US"/>
        </w:rPr>
        <w:t>acrt</w:t>
      </w:r>
      <w:r>
        <w:rPr>
          <w:rFonts w:eastAsia="Calibri"/>
          <w:lang w:eastAsia="en-US"/>
        </w:rPr>
        <w:t>u prijedloga</w:t>
      </w:r>
      <w:r w:rsidRPr="00721A40">
        <w:rPr>
          <w:rFonts w:eastAsia="Calibri"/>
          <w:lang w:eastAsia="en-US"/>
        </w:rPr>
        <w:t xml:space="preserve"> </w:t>
      </w:r>
      <w:r>
        <w:rPr>
          <w:rFonts w:eastAsia="Calibri"/>
          <w:lang w:eastAsia="en-US"/>
        </w:rPr>
        <w:t xml:space="preserve">Odluke </w:t>
      </w:r>
      <w:r w:rsidRPr="00721A40">
        <w:rPr>
          <w:rFonts w:eastAsia="Calibri"/>
          <w:lang w:eastAsia="en-US"/>
        </w:rPr>
        <w:t xml:space="preserve">o </w:t>
      </w:r>
      <w:r w:rsidR="00C72EAB">
        <w:rPr>
          <w:rFonts w:eastAsia="Calibri"/>
          <w:lang w:eastAsia="en-US"/>
        </w:rPr>
        <w:t xml:space="preserve">utvrđivanju lokacija za kupanje i </w:t>
      </w:r>
      <w:proofErr w:type="spellStart"/>
      <w:r w:rsidR="00C72EAB">
        <w:rPr>
          <w:rFonts w:eastAsia="Calibri"/>
          <w:lang w:eastAsia="en-US"/>
        </w:rPr>
        <w:t>trtajanja</w:t>
      </w:r>
      <w:proofErr w:type="spellEnd"/>
      <w:r w:rsidR="00C72EAB">
        <w:rPr>
          <w:rFonts w:eastAsia="Calibri"/>
          <w:lang w:eastAsia="en-US"/>
        </w:rPr>
        <w:t xml:space="preserve"> sezone za kupanje u 2026.</w:t>
      </w:r>
      <w:r>
        <w:rPr>
          <w:rFonts w:eastAsia="Calibri"/>
          <w:lang w:eastAsia="en-US"/>
        </w:rPr>
        <w:t xml:space="preserve"> </w:t>
      </w:r>
      <w:r>
        <w:t xml:space="preserve">bilo </w:t>
      </w:r>
      <w:r w:rsidR="00C72EAB">
        <w:t>je</w:t>
      </w:r>
      <w:r>
        <w:t xml:space="preserve"> iznesenih primjedbi </w:t>
      </w:r>
      <w:r w:rsidR="00C72EAB">
        <w:t>i</w:t>
      </w:r>
      <w:r>
        <w:t xml:space="preserve"> prijedloga.</w:t>
      </w:r>
    </w:p>
    <w:p w14:paraId="343C3A17" w14:textId="77777777" w:rsidR="009E0B1F" w:rsidRDefault="009E0B1F" w:rsidP="009E0B1F">
      <w:pPr>
        <w:jc w:val="both"/>
      </w:pPr>
    </w:p>
    <w:p w14:paraId="058D555B" w14:textId="77777777" w:rsidR="009E0B1F" w:rsidRDefault="009E0B1F" w:rsidP="009E0B1F">
      <w:pPr>
        <w:jc w:val="both"/>
      </w:pPr>
    </w:p>
    <w:p w14:paraId="1A104519" w14:textId="77777777" w:rsidR="009E0B1F" w:rsidRDefault="009E0B1F" w:rsidP="009E0B1F">
      <w:pPr>
        <w:jc w:val="both"/>
      </w:pPr>
    </w:p>
    <w:p w14:paraId="7D379D08" w14:textId="77777777" w:rsidR="009E0B1F" w:rsidRDefault="009E0B1F" w:rsidP="009E0B1F">
      <w:pPr>
        <w:jc w:val="both"/>
      </w:pPr>
    </w:p>
    <w:p w14:paraId="59902AA6" w14:textId="77777777" w:rsidR="00BD75B8" w:rsidRDefault="00BD75B8" w:rsidP="00487368"/>
    <w:tbl>
      <w:tblPr>
        <w:tblStyle w:val="TableGrid"/>
        <w:tblW w:w="10349" w:type="dxa"/>
        <w:tblInd w:w="-431" w:type="dxa"/>
        <w:tblLayout w:type="fixed"/>
        <w:tblLook w:val="04A0" w:firstRow="1" w:lastRow="0" w:firstColumn="1" w:lastColumn="0" w:noHBand="0" w:noVBand="1"/>
      </w:tblPr>
      <w:tblGrid>
        <w:gridCol w:w="690"/>
        <w:gridCol w:w="1863"/>
        <w:gridCol w:w="1984"/>
        <w:gridCol w:w="2977"/>
        <w:gridCol w:w="2835"/>
      </w:tblGrid>
      <w:tr w:rsidR="004F53B0" w14:paraId="1FAB9E2B" w14:textId="77777777" w:rsidTr="002F37F4">
        <w:tc>
          <w:tcPr>
            <w:tcW w:w="690" w:type="dxa"/>
          </w:tcPr>
          <w:p w14:paraId="0AC10E21" w14:textId="77777777" w:rsidR="00BD75B8" w:rsidRPr="00BD75B8" w:rsidRDefault="00BD75B8" w:rsidP="00C57758">
            <w:pPr>
              <w:autoSpaceDE w:val="0"/>
              <w:autoSpaceDN w:val="0"/>
              <w:adjustRightInd w:val="0"/>
              <w:jc w:val="center"/>
              <w:rPr>
                <w:rFonts w:eastAsia="TimesNewRomanPSMT"/>
                <w:b/>
                <w:bCs/>
              </w:rPr>
            </w:pPr>
            <w:r w:rsidRPr="00BD75B8">
              <w:rPr>
                <w:rFonts w:eastAsia="TimesNewRomanPSMT"/>
                <w:b/>
                <w:bCs/>
              </w:rPr>
              <w:t>Red.</w:t>
            </w:r>
          </w:p>
          <w:p w14:paraId="2B47CA14" w14:textId="77777777" w:rsidR="00BD75B8" w:rsidRPr="00BD75B8" w:rsidRDefault="00BD75B8" w:rsidP="00C57758">
            <w:pPr>
              <w:jc w:val="center"/>
              <w:rPr>
                <w:b/>
                <w:bCs/>
              </w:rPr>
            </w:pPr>
            <w:r w:rsidRPr="00BD75B8">
              <w:rPr>
                <w:rFonts w:eastAsia="TimesNewRomanPSMT"/>
                <w:b/>
                <w:bCs/>
              </w:rPr>
              <w:t>br.</w:t>
            </w:r>
          </w:p>
        </w:tc>
        <w:tc>
          <w:tcPr>
            <w:tcW w:w="1863" w:type="dxa"/>
          </w:tcPr>
          <w:p w14:paraId="7C201CAE" w14:textId="77777777" w:rsidR="00BD75B8" w:rsidRPr="00BD75B8" w:rsidRDefault="00BD75B8" w:rsidP="002F37F4">
            <w:pPr>
              <w:autoSpaceDE w:val="0"/>
              <w:autoSpaceDN w:val="0"/>
              <w:adjustRightInd w:val="0"/>
              <w:jc w:val="both"/>
              <w:rPr>
                <w:rFonts w:eastAsia="TimesNewRomanPSMT"/>
                <w:b/>
                <w:bCs/>
              </w:rPr>
            </w:pPr>
            <w:r w:rsidRPr="00BD75B8">
              <w:rPr>
                <w:rFonts w:eastAsia="TimesNewRomanPSMT"/>
                <w:b/>
                <w:bCs/>
              </w:rPr>
              <w:t>Predstavnic</w:t>
            </w:r>
            <w:r w:rsidR="00C57758">
              <w:rPr>
                <w:rFonts w:eastAsia="TimesNewRomanPSMT"/>
                <w:b/>
                <w:bCs/>
              </w:rPr>
              <w:t>i</w:t>
            </w:r>
          </w:p>
          <w:p w14:paraId="76F940FC" w14:textId="77777777" w:rsidR="00BD75B8" w:rsidRPr="00BD75B8" w:rsidRDefault="00BD75B8" w:rsidP="002F37F4">
            <w:pPr>
              <w:autoSpaceDE w:val="0"/>
              <w:autoSpaceDN w:val="0"/>
              <w:adjustRightInd w:val="0"/>
              <w:jc w:val="both"/>
              <w:rPr>
                <w:rFonts w:eastAsia="TimesNewRomanPSMT"/>
                <w:b/>
                <w:bCs/>
              </w:rPr>
            </w:pPr>
            <w:r w:rsidRPr="00BD75B8">
              <w:rPr>
                <w:rFonts w:eastAsia="TimesNewRomanPSMT"/>
                <w:b/>
                <w:bCs/>
              </w:rPr>
              <w:t>javnosti</w:t>
            </w:r>
          </w:p>
          <w:p w14:paraId="533EF477" w14:textId="77777777" w:rsidR="00BD75B8" w:rsidRPr="00BD75B8" w:rsidRDefault="00BD75B8" w:rsidP="002F37F4">
            <w:pPr>
              <w:autoSpaceDE w:val="0"/>
              <w:autoSpaceDN w:val="0"/>
              <w:adjustRightInd w:val="0"/>
              <w:jc w:val="both"/>
              <w:rPr>
                <w:rFonts w:eastAsia="TimesNewRomanPSMT"/>
                <w:b/>
                <w:bCs/>
              </w:rPr>
            </w:pPr>
            <w:r w:rsidRPr="00BD75B8">
              <w:rPr>
                <w:rFonts w:eastAsia="TimesNewRomanPSMT"/>
                <w:b/>
                <w:bCs/>
              </w:rPr>
              <w:t>(pojedinac,</w:t>
            </w:r>
          </w:p>
          <w:p w14:paraId="313548E1" w14:textId="77777777" w:rsidR="00C57758" w:rsidRDefault="002F37F4" w:rsidP="002F37F4">
            <w:pPr>
              <w:autoSpaceDE w:val="0"/>
              <w:autoSpaceDN w:val="0"/>
              <w:adjustRightInd w:val="0"/>
              <w:jc w:val="both"/>
              <w:rPr>
                <w:rFonts w:eastAsia="TimesNewRomanPSMT"/>
                <w:b/>
                <w:bCs/>
              </w:rPr>
            </w:pPr>
            <w:r w:rsidRPr="00BD75B8">
              <w:rPr>
                <w:rFonts w:eastAsia="TimesNewRomanPSMT"/>
                <w:b/>
                <w:bCs/>
              </w:rPr>
              <w:t>O</w:t>
            </w:r>
            <w:r w:rsidR="00BD75B8" w:rsidRPr="00BD75B8">
              <w:rPr>
                <w:rFonts w:eastAsia="TimesNewRomanPSMT"/>
                <w:b/>
                <w:bCs/>
              </w:rPr>
              <w:t>rganizacija</w:t>
            </w:r>
            <w:r>
              <w:rPr>
                <w:rFonts w:eastAsia="TimesNewRomanPSMT"/>
                <w:b/>
                <w:bCs/>
              </w:rPr>
              <w:t>,</w:t>
            </w:r>
          </w:p>
          <w:p w14:paraId="6439BCCC" w14:textId="77777777" w:rsidR="00BD75B8" w:rsidRPr="00C57758" w:rsidRDefault="00BD75B8" w:rsidP="002F37F4">
            <w:pPr>
              <w:autoSpaceDE w:val="0"/>
              <w:autoSpaceDN w:val="0"/>
              <w:adjustRightInd w:val="0"/>
              <w:jc w:val="both"/>
              <w:rPr>
                <w:rFonts w:eastAsia="TimesNewRomanPSMT"/>
                <w:b/>
                <w:bCs/>
              </w:rPr>
            </w:pPr>
            <w:r w:rsidRPr="00BD75B8">
              <w:rPr>
                <w:rFonts w:eastAsia="TimesNewRomanPSMT"/>
                <w:b/>
                <w:bCs/>
              </w:rPr>
              <w:t>institucija)</w:t>
            </w:r>
          </w:p>
        </w:tc>
        <w:tc>
          <w:tcPr>
            <w:tcW w:w="1984" w:type="dxa"/>
          </w:tcPr>
          <w:p w14:paraId="160CCEE1" w14:textId="77777777" w:rsidR="00BD75B8" w:rsidRPr="00BD75B8" w:rsidRDefault="00BD75B8" w:rsidP="00C57758">
            <w:pPr>
              <w:autoSpaceDE w:val="0"/>
              <w:autoSpaceDN w:val="0"/>
              <w:adjustRightInd w:val="0"/>
              <w:jc w:val="center"/>
              <w:rPr>
                <w:rFonts w:eastAsia="TimesNewRomanPSMT"/>
                <w:b/>
                <w:bCs/>
              </w:rPr>
            </w:pPr>
            <w:r w:rsidRPr="00BD75B8">
              <w:rPr>
                <w:rFonts w:eastAsia="TimesNewRomanPSMT"/>
                <w:b/>
                <w:bCs/>
              </w:rPr>
              <w:t>Članak na</w:t>
            </w:r>
          </w:p>
          <w:p w14:paraId="04694F61" w14:textId="77777777" w:rsidR="00BD75B8" w:rsidRPr="00BD75B8" w:rsidRDefault="00BD75B8" w:rsidP="00C57758">
            <w:pPr>
              <w:autoSpaceDE w:val="0"/>
              <w:autoSpaceDN w:val="0"/>
              <w:adjustRightInd w:val="0"/>
              <w:jc w:val="center"/>
              <w:rPr>
                <w:rFonts w:eastAsia="TimesNewRomanPSMT"/>
                <w:b/>
                <w:bCs/>
              </w:rPr>
            </w:pPr>
            <w:r w:rsidRPr="00BD75B8">
              <w:rPr>
                <w:rFonts w:eastAsia="TimesNewRomanPSMT"/>
                <w:b/>
                <w:bCs/>
              </w:rPr>
              <w:t>koji se</w:t>
            </w:r>
          </w:p>
          <w:p w14:paraId="5716F435" w14:textId="77777777" w:rsidR="00BD75B8" w:rsidRPr="00BD75B8" w:rsidRDefault="00BD75B8" w:rsidP="00C57758">
            <w:pPr>
              <w:autoSpaceDE w:val="0"/>
              <w:autoSpaceDN w:val="0"/>
              <w:adjustRightInd w:val="0"/>
              <w:jc w:val="center"/>
              <w:rPr>
                <w:rFonts w:eastAsia="TimesNewRomanPSMT"/>
                <w:b/>
                <w:bCs/>
              </w:rPr>
            </w:pPr>
            <w:r w:rsidRPr="00BD75B8">
              <w:rPr>
                <w:rFonts w:eastAsia="TimesNewRomanPSMT"/>
                <w:b/>
                <w:bCs/>
              </w:rPr>
              <w:t>odnosi</w:t>
            </w:r>
          </w:p>
          <w:p w14:paraId="26A38965" w14:textId="77777777" w:rsidR="00BD75B8" w:rsidRPr="00BD75B8" w:rsidRDefault="00BD75B8" w:rsidP="00C57758">
            <w:pPr>
              <w:autoSpaceDE w:val="0"/>
              <w:autoSpaceDN w:val="0"/>
              <w:adjustRightInd w:val="0"/>
              <w:jc w:val="center"/>
              <w:rPr>
                <w:rFonts w:eastAsia="TimesNewRomanPSMT"/>
                <w:b/>
                <w:bCs/>
              </w:rPr>
            </w:pPr>
            <w:r w:rsidRPr="00BD75B8">
              <w:rPr>
                <w:rFonts w:eastAsia="TimesNewRomanPSMT"/>
                <w:b/>
                <w:bCs/>
              </w:rPr>
              <w:t>primjedba/</w:t>
            </w:r>
          </w:p>
          <w:p w14:paraId="6ADAAFFF" w14:textId="77777777" w:rsidR="00BD75B8" w:rsidRPr="00BD75B8" w:rsidRDefault="00BD75B8" w:rsidP="00C57758">
            <w:pPr>
              <w:jc w:val="center"/>
              <w:rPr>
                <w:b/>
                <w:bCs/>
              </w:rPr>
            </w:pPr>
            <w:r w:rsidRPr="00BD75B8">
              <w:rPr>
                <w:rFonts w:eastAsia="TimesNewRomanPSMT"/>
                <w:b/>
                <w:bCs/>
              </w:rPr>
              <w:t>prijedlog</w:t>
            </w:r>
          </w:p>
        </w:tc>
        <w:tc>
          <w:tcPr>
            <w:tcW w:w="2977" w:type="dxa"/>
          </w:tcPr>
          <w:p w14:paraId="629EAE57" w14:textId="77777777" w:rsidR="00BD75B8" w:rsidRPr="00BD75B8" w:rsidRDefault="00BD75B8" w:rsidP="00C57758">
            <w:pPr>
              <w:autoSpaceDE w:val="0"/>
              <w:autoSpaceDN w:val="0"/>
              <w:adjustRightInd w:val="0"/>
              <w:jc w:val="center"/>
              <w:rPr>
                <w:rFonts w:eastAsia="TimesNewRomanPSMT"/>
                <w:b/>
                <w:bCs/>
              </w:rPr>
            </w:pPr>
            <w:r w:rsidRPr="00BD75B8">
              <w:rPr>
                <w:rFonts w:eastAsia="TimesNewRomanPSMT"/>
                <w:b/>
                <w:bCs/>
              </w:rPr>
              <w:t>Tekst primjedbe/</w:t>
            </w:r>
          </w:p>
          <w:p w14:paraId="7C931E3D" w14:textId="77777777" w:rsidR="00BD75B8" w:rsidRPr="00BD75B8" w:rsidRDefault="00BD75B8" w:rsidP="00C57758">
            <w:pPr>
              <w:jc w:val="center"/>
              <w:rPr>
                <w:b/>
                <w:bCs/>
              </w:rPr>
            </w:pPr>
            <w:r w:rsidRPr="00BD75B8">
              <w:rPr>
                <w:rFonts w:eastAsia="TimesNewRomanPSMT"/>
                <w:b/>
                <w:bCs/>
              </w:rPr>
              <w:t>prijedloga</w:t>
            </w:r>
          </w:p>
        </w:tc>
        <w:tc>
          <w:tcPr>
            <w:tcW w:w="2835" w:type="dxa"/>
          </w:tcPr>
          <w:p w14:paraId="32FBF3CF" w14:textId="77777777" w:rsidR="00BD75B8" w:rsidRPr="00BD75B8" w:rsidRDefault="00BD75B8" w:rsidP="00C57758">
            <w:pPr>
              <w:autoSpaceDE w:val="0"/>
              <w:autoSpaceDN w:val="0"/>
              <w:adjustRightInd w:val="0"/>
              <w:jc w:val="center"/>
              <w:rPr>
                <w:rFonts w:eastAsia="TimesNewRomanPSMT"/>
                <w:b/>
                <w:bCs/>
              </w:rPr>
            </w:pPr>
            <w:r w:rsidRPr="00BD75B8">
              <w:rPr>
                <w:rFonts w:eastAsia="TimesNewRomanPSMT"/>
                <w:b/>
                <w:bCs/>
              </w:rPr>
              <w:t>Prihvaćanje/ neprihvaćanje</w:t>
            </w:r>
          </w:p>
          <w:p w14:paraId="06C52A8A" w14:textId="77777777" w:rsidR="00BD75B8" w:rsidRPr="00BD75B8" w:rsidRDefault="00BD75B8" w:rsidP="00C57758">
            <w:pPr>
              <w:autoSpaceDE w:val="0"/>
              <w:autoSpaceDN w:val="0"/>
              <w:adjustRightInd w:val="0"/>
              <w:jc w:val="center"/>
              <w:rPr>
                <w:rFonts w:eastAsia="TimesNewRomanPSMT"/>
                <w:b/>
                <w:bCs/>
              </w:rPr>
            </w:pPr>
            <w:r w:rsidRPr="00BD75B8">
              <w:rPr>
                <w:rFonts w:eastAsia="TimesNewRomanPSMT"/>
                <w:b/>
                <w:bCs/>
              </w:rPr>
              <w:t>primjedbe/ prijedloga sa</w:t>
            </w:r>
          </w:p>
          <w:p w14:paraId="54FD978B" w14:textId="77777777" w:rsidR="00BD75B8" w:rsidRPr="00BD75B8" w:rsidRDefault="00BD75B8" w:rsidP="00C57758">
            <w:pPr>
              <w:jc w:val="center"/>
              <w:rPr>
                <w:b/>
                <w:bCs/>
              </w:rPr>
            </w:pPr>
            <w:r w:rsidRPr="00BD75B8">
              <w:rPr>
                <w:rFonts w:eastAsia="TimesNewRomanPSMT"/>
                <w:b/>
                <w:bCs/>
              </w:rPr>
              <w:t>obrazloženjem</w:t>
            </w:r>
          </w:p>
        </w:tc>
      </w:tr>
      <w:tr w:rsidR="00C72EAB" w14:paraId="264BD58C" w14:textId="77777777" w:rsidTr="00711E15">
        <w:trPr>
          <w:trHeight w:val="2590"/>
        </w:trPr>
        <w:tc>
          <w:tcPr>
            <w:tcW w:w="690" w:type="dxa"/>
          </w:tcPr>
          <w:p w14:paraId="15DF95F7" w14:textId="77777777" w:rsidR="00C72EAB" w:rsidRDefault="00C72EAB" w:rsidP="00C72EAB"/>
          <w:p w14:paraId="3D88DD01" w14:textId="77777777" w:rsidR="00C72EAB" w:rsidRDefault="00C72EAB" w:rsidP="00C72EAB">
            <w:r>
              <w:t>1.</w:t>
            </w:r>
          </w:p>
        </w:tc>
        <w:tc>
          <w:tcPr>
            <w:tcW w:w="1863" w:type="dxa"/>
          </w:tcPr>
          <w:p w14:paraId="469332A6" w14:textId="77777777" w:rsidR="00C72EAB" w:rsidRDefault="00C72EAB" w:rsidP="00C72EAB"/>
          <w:p w14:paraId="180AE87E" w14:textId="3F0FDC62" w:rsidR="00C72EAB" w:rsidRDefault="00C72EAB" w:rsidP="00C72EAB">
            <w:r>
              <w:t>V</w:t>
            </w:r>
            <w:r w:rsidR="00C16BF5">
              <w:t>elimir</w:t>
            </w:r>
            <w:r>
              <w:t xml:space="preserve"> Ponoš</w:t>
            </w:r>
          </w:p>
          <w:p w14:paraId="7585E99C" w14:textId="77777777" w:rsidR="00C72EAB" w:rsidRDefault="00C72EAB" w:rsidP="00C72EAB"/>
          <w:p w14:paraId="2D5FFC96" w14:textId="77777777" w:rsidR="00C72EAB" w:rsidRDefault="00C72EAB" w:rsidP="00C72EAB"/>
          <w:p w14:paraId="5669C428" w14:textId="77777777" w:rsidR="00C72EAB" w:rsidRDefault="00C72EAB" w:rsidP="00C72EAB"/>
          <w:p w14:paraId="32971F2E" w14:textId="77777777" w:rsidR="00C72EAB" w:rsidRDefault="00C72EAB" w:rsidP="00C72EAB"/>
          <w:p w14:paraId="6A93E9B8" w14:textId="77777777" w:rsidR="00C72EAB" w:rsidRDefault="00C72EAB" w:rsidP="00C72EAB"/>
          <w:p w14:paraId="477A3905" w14:textId="77777777" w:rsidR="00C72EAB" w:rsidRDefault="00C72EAB" w:rsidP="00C72EAB"/>
          <w:p w14:paraId="36EA545A" w14:textId="77777777" w:rsidR="00C72EAB" w:rsidRDefault="00C72EAB" w:rsidP="00C72EAB"/>
          <w:p w14:paraId="56B2CAE0" w14:textId="77777777" w:rsidR="00C72EAB" w:rsidRDefault="00C72EAB" w:rsidP="00C72EAB"/>
          <w:p w14:paraId="241DC679" w14:textId="77777777" w:rsidR="00C72EAB" w:rsidRDefault="00C72EAB" w:rsidP="00C72EAB"/>
          <w:p w14:paraId="2553D44B" w14:textId="77777777" w:rsidR="00C72EAB" w:rsidRDefault="00C72EAB" w:rsidP="00C72EAB"/>
          <w:p w14:paraId="1C040DE6" w14:textId="77777777" w:rsidR="00C72EAB" w:rsidRDefault="00C72EAB" w:rsidP="00C72EAB"/>
          <w:p w14:paraId="6296036C" w14:textId="77777777" w:rsidR="00C72EAB" w:rsidRDefault="00C72EAB" w:rsidP="00C72EAB"/>
        </w:tc>
        <w:tc>
          <w:tcPr>
            <w:tcW w:w="1984" w:type="dxa"/>
          </w:tcPr>
          <w:p w14:paraId="300E4264" w14:textId="77777777" w:rsidR="00C72EAB" w:rsidRDefault="00C72EAB" w:rsidP="00C72EAB"/>
          <w:p w14:paraId="2E15CF58" w14:textId="77777777" w:rsidR="00C72EAB" w:rsidRDefault="00C72EAB" w:rsidP="00C72EAB">
            <w:r>
              <w:t>Članak 2.</w:t>
            </w:r>
          </w:p>
        </w:tc>
        <w:tc>
          <w:tcPr>
            <w:tcW w:w="2977" w:type="dxa"/>
            <w:vAlign w:val="center"/>
          </w:tcPr>
          <w:p w14:paraId="15C034B8" w14:textId="77777777" w:rsidR="00C72EAB" w:rsidRPr="006F56F4" w:rsidRDefault="00C72EAB" w:rsidP="00C72EAB">
            <w:pPr>
              <w:spacing w:before="100" w:beforeAutospacing="1" w:after="100" w:afterAutospacing="1"/>
              <w:outlineLvl w:val="2"/>
              <w:rPr>
                <w:b/>
                <w:bCs/>
                <w:sz w:val="27"/>
                <w:szCs w:val="27"/>
              </w:rPr>
            </w:pPr>
            <w:r w:rsidRPr="006F56F4">
              <w:rPr>
                <w:b/>
                <w:bCs/>
                <w:sz w:val="27"/>
                <w:szCs w:val="27"/>
              </w:rPr>
              <w:t>Primjedbe</w:t>
            </w:r>
          </w:p>
          <w:p w14:paraId="09B330D8" w14:textId="77777777" w:rsidR="00C72EAB" w:rsidRPr="006F56F4" w:rsidRDefault="00C72EAB" w:rsidP="00C72EAB">
            <w:pPr>
              <w:numPr>
                <w:ilvl w:val="0"/>
                <w:numId w:val="2"/>
              </w:numPr>
              <w:spacing w:before="100" w:beforeAutospacing="1" w:after="100" w:afterAutospacing="1"/>
            </w:pPr>
            <w:r w:rsidRPr="006F56F4">
              <w:t>U prijedlogu odluke</w:t>
            </w:r>
            <w:r>
              <w:t>/obrazloženju</w:t>
            </w:r>
            <w:r w:rsidRPr="006F56F4">
              <w:t xml:space="preserve"> nisu transparentno prikazani cjeloviti podaci o kakvoći vode za protekle četiri godine, čime se </w:t>
            </w:r>
            <w:r>
              <w:t xml:space="preserve">građanima </w:t>
            </w:r>
            <w:r w:rsidRPr="006F56F4">
              <w:t>uskraćuje</w:t>
            </w:r>
            <w:r>
              <w:t xml:space="preserve"> dostupnost ključne</w:t>
            </w:r>
            <w:r w:rsidRPr="006F56F4">
              <w:t xml:space="preserve"> osnov</w:t>
            </w:r>
            <w:r>
              <w:t>e</w:t>
            </w:r>
            <w:r w:rsidRPr="006F56F4">
              <w:t xml:space="preserve"> za donošenje odluke. </w:t>
            </w:r>
          </w:p>
          <w:p w14:paraId="3A657236" w14:textId="77777777" w:rsidR="00C72EAB" w:rsidRPr="006F56F4" w:rsidRDefault="00C72EAB" w:rsidP="00C72EAB">
            <w:pPr>
              <w:numPr>
                <w:ilvl w:val="0"/>
                <w:numId w:val="2"/>
              </w:numPr>
              <w:spacing w:before="100" w:beforeAutospacing="1" w:after="100" w:afterAutospacing="1"/>
            </w:pPr>
            <w:r w:rsidRPr="006F56F4">
              <w:t xml:space="preserve">Službeni podaci Grada Zagreba pokazuju da je kakvoća vode na jezeru Jarun kontinuirano dobra i izvrsna tijekom ljetnih sezona, što nije uzeto u obzir. </w:t>
            </w:r>
            <w:r>
              <w:t xml:space="preserve">Ti </w:t>
            </w:r>
            <w:r>
              <w:lastRenderedPageBreak/>
              <w:t xml:space="preserve">se podaci mogu javno provjeriti na </w:t>
            </w:r>
            <w:r w:rsidRPr="006F56F4">
              <w:t>https://zagreb.hr/ispitivanje-kakvoce-voda-za-kupanje/29384</w:t>
            </w:r>
          </w:p>
          <w:p w14:paraId="60DB4DBE" w14:textId="77777777" w:rsidR="00C72EAB" w:rsidRPr="006F56F4" w:rsidRDefault="00C72EAB" w:rsidP="00C72EAB">
            <w:pPr>
              <w:numPr>
                <w:ilvl w:val="0"/>
                <w:numId w:val="2"/>
              </w:numPr>
              <w:spacing w:before="100" w:beforeAutospacing="1" w:after="100" w:afterAutospacing="1"/>
            </w:pPr>
            <w:r w:rsidRPr="006F56F4">
              <w:t xml:space="preserve">Nelogično je zabraniti kupanje na Jarunu uz istovremeno omogućavanje kupanja na Bundeku, koji posljednjih godina presušuje već početkom ljeta. </w:t>
            </w:r>
          </w:p>
          <w:p w14:paraId="584260D7" w14:textId="77777777" w:rsidR="00C72EAB" w:rsidRPr="006F56F4" w:rsidRDefault="00C72EAB" w:rsidP="00C72EAB">
            <w:pPr>
              <w:numPr>
                <w:ilvl w:val="0"/>
                <w:numId w:val="2"/>
              </w:numPr>
              <w:spacing w:before="100" w:beforeAutospacing="1" w:after="100" w:afterAutospacing="1"/>
            </w:pPr>
            <w:r w:rsidRPr="006F56F4">
              <w:t xml:space="preserve">Zabranom kupanja na Plaži za osobe s invaliditetom i FKK plaži korisnicima se ne osigurava odgovarajuća alternativa. </w:t>
            </w:r>
          </w:p>
          <w:p w14:paraId="058A0AC0" w14:textId="77777777" w:rsidR="00C72EAB" w:rsidRDefault="00C72EAB" w:rsidP="00C72EAB">
            <w:pPr>
              <w:numPr>
                <w:ilvl w:val="0"/>
                <w:numId w:val="2"/>
              </w:numPr>
              <w:spacing w:before="100" w:beforeAutospacing="1" w:after="100" w:afterAutospacing="1"/>
            </w:pPr>
            <w:r w:rsidRPr="006F56F4">
              <w:t>Podaci za ljetno razdoblje ne ukazuju na prepreke za kupanje te ne podupiru predloženu zabranu.</w:t>
            </w:r>
          </w:p>
          <w:p w14:paraId="1BCB17C8" w14:textId="77777777" w:rsidR="00C72EAB" w:rsidRDefault="00C72EAB" w:rsidP="00C72EAB">
            <w:pPr>
              <w:pStyle w:val="Heading3"/>
            </w:pPr>
            <w:r>
              <w:rPr>
                <w:rStyle w:val="Strong"/>
                <w:rFonts w:eastAsia="Calibri"/>
                <w:b/>
                <w:bCs/>
              </w:rPr>
              <w:t>Prijedlog</w:t>
            </w:r>
          </w:p>
          <w:p w14:paraId="595C17B1" w14:textId="77777777" w:rsidR="00C72EAB" w:rsidRPr="006F56F4" w:rsidRDefault="00C72EAB" w:rsidP="00C72EAB">
            <w:pPr>
              <w:spacing w:before="100" w:beforeAutospacing="1" w:after="100" w:afterAutospacing="1"/>
            </w:pPr>
            <w:r>
              <w:t>Omogućiti kupanje na cijelom jezeru Jarun, u skladu sa službenim podacima o kakvoći vode i potrebama građana tijekom ljetne sezone.</w:t>
            </w:r>
          </w:p>
          <w:p w14:paraId="3D05B871" w14:textId="77777777" w:rsidR="00C72EAB" w:rsidRDefault="00C72EAB" w:rsidP="00C72EAB">
            <w:pPr>
              <w:jc w:val="both"/>
            </w:pPr>
          </w:p>
        </w:tc>
        <w:tc>
          <w:tcPr>
            <w:tcW w:w="2835" w:type="dxa"/>
          </w:tcPr>
          <w:p w14:paraId="1F81AA68" w14:textId="77777777" w:rsidR="00C72EAB" w:rsidRDefault="00C72EAB" w:rsidP="00C72EAB">
            <w:pPr>
              <w:spacing w:after="160" w:line="259" w:lineRule="auto"/>
              <w:rPr>
                <w:b/>
                <w:bCs/>
              </w:rPr>
            </w:pPr>
            <w:r>
              <w:rPr>
                <w:b/>
                <w:bCs/>
              </w:rPr>
              <w:lastRenderedPageBreak/>
              <w:t>NE</w:t>
            </w:r>
          </w:p>
          <w:p w14:paraId="4C732C13" w14:textId="77777777" w:rsidR="008E355F" w:rsidRPr="008E355F" w:rsidRDefault="008E355F" w:rsidP="008E355F">
            <w:pPr>
              <w:jc w:val="both"/>
              <w:rPr>
                <w:color w:val="000000"/>
              </w:rPr>
            </w:pPr>
            <w:r w:rsidRPr="008E355F">
              <w:rPr>
                <w:color w:val="000000"/>
              </w:rPr>
              <w:t xml:space="preserve">Pravni temelj i način donošenja donošenje ove odluke propisan je člankom 58. stavak 2. Zakona o vodama (Narodne novine 66/19, 84/21 i 47/23) koji propisuje da jedinica lokalne samouprave donosi odluku kojom se utvrđuju lokacije za kupanje (kupališta) i trajanje sezone za kupanje na površinskim vodama te člankom 4. stavak 1. Uredbe o kakvoći voda za kupanje (Narodne novine 51/14). Lokacije za kupanje određuju se na temelju godišnje ocjene kakvoće vode za kupanje za prethodnu sezonu </w:t>
            </w:r>
            <w:r w:rsidRPr="008E355F">
              <w:rPr>
                <w:color w:val="000000"/>
              </w:rPr>
              <w:lastRenderedPageBreak/>
              <w:t xml:space="preserve">kupanja. Ovdje treba razlikovati pojedinačnu ocjenu, koja se  određuje za svaki pojedinačni uzorak tijekom sezone ispitivanja, od godišnje ocjene, koja se određuje na kraju svake sezone ispitivanja na temelju skupa podataka rezultata kakvoće vode za kupanje iz te sezone ispitivanja. Pojedinačne ocjene, kao i godišnju ocjenu sukladno Zakonu i Uredbi donosi Nastavni zavod za javno zdravstvo Dr. Andrija Štampar. </w:t>
            </w:r>
          </w:p>
          <w:p w14:paraId="796EBC00" w14:textId="77777777" w:rsidR="008E355F" w:rsidRPr="008E355F" w:rsidRDefault="008E355F" w:rsidP="008E355F">
            <w:pPr>
              <w:jc w:val="both"/>
              <w:rPr>
                <w:color w:val="000000"/>
              </w:rPr>
            </w:pPr>
            <w:r w:rsidRPr="008E355F">
              <w:rPr>
                <w:color w:val="000000"/>
              </w:rPr>
              <w:t>Točno je da su sve pojedinačne ocjene vode za kupanje na Jarunu bile dobre ili izvrsne. Međutim, prema metodologiji izračuna  godišnje ocjene  propisane Uredbom, ukupna godišnja ocjena razlikuje se među pojedinim lokacijama. Tako su plaže Malo jezero i Otok veslača ostvarile dobru godišnju ocjenu s obzirom na ujednačene rezultate tijekom cijele godine. S druge strane, na plažama Veliko jezero, Otok Univerzijade i Otok Trešnjevka, varijabilnost pojedinačnih rezultata tijekom sezone dovela je do nezadovoljavajuće godišnje ocjene. Slijedom navedenog, predložene lokacije za kupanje na jezeru Jarun u 2026. godini su Malo jezero i Otok veslača.</w:t>
            </w:r>
          </w:p>
          <w:p w14:paraId="282F49CE" w14:textId="77777777" w:rsidR="008E355F" w:rsidRPr="008E355F" w:rsidRDefault="008E355F" w:rsidP="008E355F">
            <w:pPr>
              <w:jc w:val="both"/>
              <w:rPr>
                <w:color w:val="000000"/>
              </w:rPr>
            </w:pPr>
            <w:r w:rsidRPr="008E355F">
              <w:rPr>
                <w:color w:val="000000"/>
              </w:rPr>
              <w:t xml:space="preserve">Na jezeru Bundek sve pojedinačne ocjene i godišnja ocjena ocjenjene su izvrsno te stoga nije bilo zapreka za stavljanje plaža </w:t>
            </w:r>
            <w:r w:rsidRPr="008E355F">
              <w:rPr>
                <w:color w:val="000000"/>
              </w:rPr>
              <w:lastRenderedPageBreak/>
              <w:t>jezera Bundek u ovogodišnju odluku.</w:t>
            </w:r>
          </w:p>
          <w:p w14:paraId="563ABC04" w14:textId="20F0C9A6" w:rsidR="008E355F" w:rsidRPr="00040F42" w:rsidRDefault="008E355F" w:rsidP="00C60FB9">
            <w:pPr>
              <w:jc w:val="both"/>
              <w:rPr>
                <w:b/>
                <w:bCs/>
              </w:rPr>
            </w:pPr>
            <w:r w:rsidRPr="008E355F">
              <w:rPr>
                <w:color w:val="000000"/>
              </w:rPr>
              <w:t>Tijekom sezone kupanja na službenim stranicama Grada Zagreba i Nastavnog zavoda objavljuju se sve pojedinačne ocjene za svaku točku uzorkovanja.</w:t>
            </w:r>
          </w:p>
        </w:tc>
      </w:tr>
      <w:tr w:rsidR="00346CDF" w:rsidRPr="00040F42" w14:paraId="1D4D7163" w14:textId="77777777" w:rsidTr="00CC0F6F">
        <w:trPr>
          <w:trHeight w:val="2590"/>
        </w:trPr>
        <w:tc>
          <w:tcPr>
            <w:tcW w:w="690" w:type="dxa"/>
          </w:tcPr>
          <w:p w14:paraId="464C2B82" w14:textId="77777777" w:rsidR="00346CDF" w:rsidRDefault="00346CDF" w:rsidP="00CC0F6F"/>
          <w:p w14:paraId="732DF749" w14:textId="77777777" w:rsidR="00346CDF" w:rsidRDefault="00346CDF" w:rsidP="00CC0F6F">
            <w:r>
              <w:t>2.</w:t>
            </w:r>
          </w:p>
        </w:tc>
        <w:tc>
          <w:tcPr>
            <w:tcW w:w="1863" w:type="dxa"/>
          </w:tcPr>
          <w:p w14:paraId="45749C49" w14:textId="77777777" w:rsidR="00346CDF" w:rsidRDefault="00346CDF" w:rsidP="00346CDF"/>
          <w:p w14:paraId="259C8499" w14:textId="77777777" w:rsidR="00346CDF" w:rsidRDefault="00346CDF" w:rsidP="00346CDF">
            <w:r>
              <w:t xml:space="preserve">Snježana Krušelj, predsjednica Društva </w:t>
            </w:r>
            <w:proofErr w:type="spellStart"/>
            <w:r>
              <w:t>naturista</w:t>
            </w:r>
            <w:proofErr w:type="spellEnd"/>
            <w:r>
              <w:t xml:space="preserve"> Hrvatske</w:t>
            </w:r>
          </w:p>
          <w:p w14:paraId="0097A087" w14:textId="77777777" w:rsidR="00346CDF" w:rsidRDefault="00346CDF" w:rsidP="00346CDF"/>
          <w:p w14:paraId="53F5FE55" w14:textId="77777777" w:rsidR="00346CDF" w:rsidRDefault="00346CDF" w:rsidP="00CC0F6F"/>
        </w:tc>
        <w:tc>
          <w:tcPr>
            <w:tcW w:w="1984" w:type="dxa"/>
          </w:tcPr>
          <w:p w14:paraId="1F2AF1ED" w14:textId="77777777" w:rsidR="00346CDF" w:rsidRDefault="00346CDF" w:rsidP="00CC0F6F"/>
          <w:p w14:paraId="4D8FD761" w14:textId="77777777" w:rsidR="00346CDF" w:rsidRDefault="00346CDF" w:rsidP="00CC0F6F">
            <w:r>
              <w:t>Članak 2.</w:t>
            </w:r>
          </w:p>
        </w:tc>
        <w:tc>
          <w:tcPr>
            <w:tcW w:w="2977" w:type="dxa"/>
            <w:vAlign w:val="center"/>
          </w:tcPr>
          <w:p w14:paraId="22468C9E" w14:textId="77777777" w:rsidR="00346CDF" w:rsidRPr="006F56F4" w:rsidRDefault="00346CDF" w:rsidP="00CC0F6F">
            <w:pPr>
              <w:spacing w:before="100" w:beforeAutospacing="1" w:after="100" w:afterAutospacing="1"/>
              <w:outlineLvl w:val="2"/>
              <w:rPr>
                <w:b/>
                <w:bCs/>
                <w:sz w:val="27"/>
                <w:szCs w:val="27"/>
              </w:rPr>
            </w:pPr>
            <w:r w:rsidRPr="006F56F4">
              <w:rPr>
                <w:b/>
                <w:bCs/>
                <w:sz w:val="27"/>
                <w:szCs w:val="27"/>
              </w:rPr>
              <w:t>Primjedbe</w:t>
            </w:r>
          </w:p>
          <w:p w14:paraId="078D3DDA" w14:textId="77777777" w:rsidR="00346CDF" w:rsidRDefault="00346CDF" w:rsidP="00346CDF">
            <w:pPr>
              <w:spacing w:before="100" w:beforeAutospacing="1" w:after="100" w:afterAutospacing="1"/>
            </w:pPr>
            <w:r>
              <w:t xml:space="preserve">Obraćam Vam se u ime Društva </w:t>
            </w:r>
            <w:proofErr w:type="spellStart"/>
            <w:r>
              <w:t>naturista</w:t>
            </w:r>
            <w:proofErr w:type="spellEnd"/>
            <w:r>
              <w:t xml:space="preserve"> Hrvatske povodom odluke Grada Zagreba o kupališnoj sezoni za 2026. godinu, kojom se zabranjuje kupanje na dijelovima jezera Jarun, uključujući područje dugogodišnje nudističke plaže.</w:t>
            </w:r>
          </w:p>
          <w:p w14:paraId="508A8D5D" w14:textId="77777777" w:rsidR="00346CDF" w:rsidRDefault="00346CDF" w:rsidP="00346CDF">
            <w:pPr>
              <w:spacing w:before="100" w:beforeAutospacing="1" w:after="100" w:afterAutospacing="1"/>
            </w:pPr>
            <w:r>
              <w:t xml:space="preserve">Ovom odlukom </w:t>
            </w:r>
            <w:proofErr w:type="spellStart"/>
            <w:r>
              <w:t>naturistima</w:t>
            </w:r>
            <w:proofErr w:type="spellEnd"/>
            <w:r>
              <w:t xml:space="preserve"> se faktično uskraćuje jedino organizirano i tradicionalno mjesto za nudističko kupanje na području Grada Zagreba i njegove okolice, čime se značajno ograničava pravo jedne društvene skupine na ravnopravan pristup javnim rekreacijskim sadržajima.</w:t>
            </w:r>
          </w:p>
          <w:p w14:paraId="6E5E1953" w14:textId="77777777" w:rsidR="00346CDF" w:rsidRDefault="00346CDF" w:rsidP="00346CDF">
            <w:pPr>
              <w:spacing w:before="100" w:beforeAutospacing="1" w:after="100" w:afterAutospacing="1"/>
            </w:pPr>
            <w:r>
              <w:t xml:space="preserve">Nudistička plaža na Jarunu desetljećima postoji bez značajnijih incidenata te predstavlja mjesto okupljanja građana koji prakticiraju </w:t>
            </w:r>
            <w:proofErr w:type="spellStart"/>
            <w:r>
              <w:t>naturizam</w:t>
            </w:r>
            <w:proofErr w:type="spellEnd"/>
            <w:r>
              <w:t xml:space="preserve"> kao oblik zdravog života, rekreacije i boravka u prirodi. </w:t>
            </w:r>
          </w:p>
          <w:p w14:paraId="2AFE7E9D" w14:textId="77777777" w:rsidR="00346CDF" w:rsidRDefault="00346CDF" w:rsidP="00346CDF">
            <w:pPr>
              <w:spacing w:before="100" w:beforeAutospacing="1" w:after="100" w:afterAutospacing="1"/>
            </w:pPr>
            <w:r>
              <w:t xml:space="preserve">Smatramo da je predmetna odluka donesena bez uvažavanja interesa i potreba građana koji prakticiraju </w:t>
            </w:r>
            <w:proofErr w:type="spellStart"/>
            <w:r>
              <w:t>naturizam</w:t>
            </w:r>
            <w:proofErr w:type="spellEnd"/>
            <w:r>
              <w:t xml:space="preserve"> te bez osiguravanja alternativne lokacije za nudističko </w:t>
            </w:r>
            <w:r>
              <w:lastRenderedPageBreak/>
              <w:t>kupanje na području Zagreba i okolice.</w:t>
            </w:r>
          </w:p>
          <w:p w14:paraId="004C1173" w14:textId="77777777" w:rsidR="00346CDF" w:rsidRDefault="00346CDF" w:rsidP="00346CDF">
            <w:pPr>
              <w:spacing w:before="100" w:beforeAutospacing="1" w:after="100" w:afterAutospacing="1"/>
            </w:pPr>
            <w:r>
              <w:t>Dodatno, službena ispitivanja kakvoće vode na jezeru Jarun redovito potvrđuju da je voda izvrsne odnosno dobre kakvoće za kupanje, što jasno pokazuje da postoje prirodni i zdravstveni uvjeti za sigurno korištenje ove lokacije kao kupališta</w:t>
            </w:r>
          </w:p>
          <w:p w14:paraId="0146160A" w14:textId="77777777" w:rsidR="00346CDF" w:rsidRDefault="00346CDF" w:rsidP="00346CDF">
            <w:pPr>
              <w:spacing w:before="100" w:beforeAutospacing="1" w:after="100" w:afterAutospacing="1"/>
            </w:pPr>
            <w:r>
              <w:t xml:space="preserve">Predlažemo: da Grad Zagreb preispita zabranu kupanja na dijelu Jaruna koji koristi </w:t>
            </w:r>
            <w:proofErr w:type="spellStart"/>
            <w:r>
              <w:t>naturistička</w:t>
            </w:r>
            <w:proofErr w:type="spellEnd"/>
            <w:r>
              <w:t xml:space="preserve"> zajednica,</w:t>
            </w:r>
          </w:p>
          <w:p w14:paraId="78C82604" w14:textId="77777777" w:rsidR="00346CDF" w:rsidRDefault="00346CDF" w:rsidP="00346CDF">
            <w:pPr>
              <w:spacing w:before="100" w:beforeAutospacing="1" w:after="100" w:afterAutospacing="1"/>
            </w:pPr>
            <w:r>
              <w:t>ili da osigura i službeno odredi drugu primjerenu lokaciju za nudističko kupanje,</w:t>
            </w:r>
          </w:p>
          <w:p w14:paraId="3167725C" w14:textId="77777777" w:rsidR="00346CDF" w:rsidRDefault="00346CDF" w:rsidP="00346CDF">
            <w:pPr>
              <w:spacing w:before="100" w:beforeAutospacing="1" w:after="100" w:afterAutospacing="1"/>
            </w:pPr>
            <w:r>
              <w:t xml:space="preserve">te da u buduće odluke uključi predstavnike Društva </w:t>
            </w:r>
            <w:proofErr w:type="spellStart"/>
            <w:r>
              <w:t>naturista</w:t>
            </w:r>
            <w:proofErr w:type="spellEnd"/>
            <w:r>
              <w:t xml:space="preserve"> Hrvatske kroz dijalog i savjetovanje.</w:t>
            </w:r>
          </w:p>
          <w:p w14:paraId="689AF8E1" w14:textId="77777777" w:rsidR="00346CDF" w:rsidRDefault="00346CDF" w:rsidP="00346CDF">
            <w:pPr>
              <w:spacing w:before="100" w:beforeAutospacing="1" w:after="100" w:afterAutospacing="1"/>
            </w:pPr>
            <w:r>
              <w:t xml:space="preserve">Smatramo da je moguće pronaći rješenje koje će istovremeno zadovoljiti sigurnosne i komunalne kriterije Grada Zagreba te očuvati pravo </w:t>
            </w:r>
            <w:proofErr w:type="spellStart"/>
            <w:r>
              <w:t>naturista</w:t>
            </w:r>
            <w:proofErr w:type="spellEnd"/>
            <w:r>
              <w:t xml:space="preserve"> na korištenje javnih rekreacijskih sadržaja.</w:t>
            </w:r>
          </w:p>
          <w:p w14:paraId="1C4AB831" w14:textId="77777777" w:rsidR="00346CDF" w:rsidRDefault="00346CDF" w:rsidP="00346CDF">
            <w:pPr>
              <w:spacing w:before="100" w:beforeAutospacing="1" w:after="100" w:afterAutospacing="1"/>
              <w:ind w:left="720"/>
            </w:pPr>
          </w:p>
          <w:p w14:paraId="7988EB37" w14:textId="77777777" w:rsidR="00346CDF" w:rsidRDefault="00346CDF" w:rsidP="00CC0F6F">
            <w:pPr>
              <w:jc w:val="both"/>
            </w:pPr>
          </w:p>
        </w:tc>
        <w:tc>
          <w:tcPr>
            <w:tcW w:w="2835" w:type="dxa"/>
          </w:tcPr>
          <w:p w14:paraId="14B49EC2" w14:textId="77777777" w:rsidR="00346CDF" w:rsidRDefault="00346CDF" w:rsidP="00CC0F6F">
            <w:pPr>
              <w:spacing w:after="160" w:line="259" w:lineRule="auto"/>
              <w:rPr>
                <w:b/>
                <w:bCs/>
              </w:rPr>
            </w:pPr>
            <w:r>
              <w:rPr>
                <w:b/>
                <w:bCs/>
              </w:rPr>
              <w:lastRenderedPageBreak/>
              <w:t>NE</w:t>
            </w:r>
          </w:p>
          <w:p w14:paraId="703B4307" w14:textId="77777777" w:rsidR="00346CDF" w:rsidRDefault="00346CDF" w:rsidP="00346CDF">
            <w:pPr>
              <w:jc w:val="both"/>
              <w:rPr>
                <w:color w:val="000000" w:themeColor="text1"/>
              </w:rPr>
            </w:pPr>
            <w:r w:rsidRPr="2ED79369">
              <w:rPr>
                <w:color w:val="000000" w:themeColor="text1"/>
              </w:rPr>
              <w:t xml:space="preserve">Pravni temelj </w:t>
            </w:r>
            <w:r>
              <w:rPr>
                <w:color w:val="000000" w:themeColor="text1"/>
              </w:rPr>
              <w:t xml:space="preserve">i način donošenja </w:t>
            </w:r>
            <w:r w:rsidRPr="2ED79369">
              <w:rPr>
                <w:color w:val="000000" w:themeColor="text1"/>
              </w:rPr>
              <w:t xml:space="preserve">donošenje ove odluke </w:t>
            </w:r>
            <w:r>
              <w:rPr>
                <w:color w:val="000000" w:themeColor="text1"/>
              </w:rPr>
              <w:t>propisan je člankom</w:t>
            </w:r>
            <w:r w:rsidRPr="2ED79369">
              <w:rPr>
                <w:color w:val="000000" w:themeColor="text1"/>
              </w:rPr>
              <w:t xml:space="preserve"> 58. stavak 2. Zakona o vodam</w:t>
            </w:r>
            <w:r>
              <w:rPr>
                <w:color w:val="000000" w:themeColor="text1"/>
              </w:rPr>
              <w:t xml:space="preserve">a (Narodne novine 66/19, 84/21 </w:t>
            </w:r>
            <w:r w:rsidRPr="2ED79369">
              <w:rPr>
                <w:color w:val="000000" w:themeColor="text1"/>
              </w:rPr>
              <w:t>i 47/23) koji propisuje da jedinica lokalne samouprave donosi odluku kojom se utvrđuju lokacije za kupanje (kupališta) i trajanje sezone za kupanje na površinskim vodama te članko</w:t>
            </w:r>
            <w:r>
              <w:rPr>
                <w:color w:val="000000" w:themeColor="text1"/>
              </w:rPr>
              <w:t>m</w:t>
            </w:r>
            <w:r w:rsidRPr="2ED79369">
              <w:rPr>
                <w:color w:val="000000" w:themeColor="text1"/>
              </w:rPr>
              <w:t xml:space="preserve"> 4. stavak 1. Uredbe o kakvoći voda za kupanje (Narodne novine 51/14)</w:t>
            </w:r>
            <w:r>
              <w:rPr>
                <w:color w:val="000000" w:themeColor="text1"/>
              </w:rPr>
              <w:t xml:space="preserve">. Kao što sam naziv Odluke glasi, Odlukom se utvrđuju lokacije za kupanje i to </w:t>
            </w:r>
            <w:r w:rsidRPr="005C5D65">
              <w:rPr>
                <w:color w:val="000000" w:themeColor="text1"/>
              </w:rPr>
              <w:t>na temelju godišnje ocjene kakvoće vode za kupanje za prethodnu sezonu kupanja. Ovdje treba razlikovati pojedinačnu ocjenu, koja se  određuje za svaki pojedinačni uzorak tijekom sezone ispitivanja, od godišnje ocjene, koja se određuje na kraju svake sezone ispitivanja na temelju skupa podataka rezultata kakvoće vode za k</w:t>
            </w:r>
            <w:r>
              <w:rPr>
                <w:color w:val="000000" w:themeColor="text1"/>
              </w:rPr>
              <w:t>upanje iz te sezone ispitivanja</w:t>
            </w:r>
            <w:r w:rsidRPr="005C5D65">
              <w:rPr>
                <w:color w:val="000000" w:themeColor="text1"/>
              </w:rPr>
              <w:t xml:space="preserve">. Pojedinačne </w:t>
            </w:r>
            <w:r>
              <w:rPr>
                <w:color w:val="000000" w:themeColor="text1"/>
              </w:rPr>
              <w:t xml:space="preserve">ocjene </w:t>
            </w:r>
            <w:r w:rsidRPr="005C5D65">
              <w:rPr>
                <w:color w:val="000000" w:themeColor="text1"/>
              </w:rPr>
              <w:t xml:space="preserve">i godišnju ocjenu sukladno Zakonu i Uredbi donosi Nastavni zavod za javno zdravstvo Dr. Andrija Štampar. </w:t>
            </w:r>
          </w:p>
          <w:p w14:paraId="2C87597B" w14:textId="77777777" w:rsidR="00346CDF" w:rsidRPr="005C5D65" w:rsidRDefault="00346CDF" w:rsidP="00346CDF">
            <w:pPr>
              <w:jc w:val="both"/>
              <w:rPr>
                <w:color w:val="000000" w:themeColor="text1"/>
              </w:rPr>
            </w:pPr>
            <w:r w:rsidRPr="005C5D65">
              <w:rPr>
                <w:color w:val="000000" w:themeColor="text1"/>
              </w:rPr>
              <w:lastRenderedPageBreak/>
              <w:t xml:space="preserve">Točno je da su sve pojedinačne ocjene vode za kupanje na Jarunu bile dobre ili izvrsne. Međutim, prema metodologiji izračuna  godišnje ocjene  propisane </w:t>
            </w:r>
            <w:r>
              <w:rPr>
                <w:color w:val="000000" w:themeColor="text1"/>
              </w:rPr>
              <w:t>Uredbom</w:t>
            </w:r>
            <w:r w:rsidRPr="005C5D65">
              <w:rPr>
                <w:color w:val="000000" w:themeColor="text1"/>
              </w:rPr>
              <w:t>, ukupn</w:t>
            </w:r>
            <w:r>
              <w:rPr>
                <w:color w:val="000000" w:themeColor="text1"/>
              </w:rPr>
              <w:t xml:space="preserve">a godišnja ocjena razlikuje se </w:t>
            </w:r>
            <w:r w:rsidRPr="005C5D65">
              <w:rPr>
                <w:color w:val="000000" w:themeColor="text1"/>
              </w:rPr>
              <w:t>među pojedinim lokacijama. Tako su plaže Malo jezero i Otok veslača ostvarile dobru godišnju ocjenu s obzirom na ujednačene rezultate tijekom cijele godine. S druge strane, na plažama Veliko jezero, Otok Univerzijade i Otok Trešnjevka, varijabilnost pojedinačnih rezultata tijekom sezone dovela je do nezadovoljavajuće godišnje ocjene. Slijedom navedenog, predložene lokacije za kupanje na jezeru Jarun u 2026. godini su Malo jezero i Otok veslača.</w:t>
            </w:r>
          </w:p>
          <w:p w14:paraId="639DF58F" w14:textId="77777777" w:rsidR="00346CDF" w:rsidRDefault="00346CDF" w:rsidP="00346CDF">
            <w:pPr>
              <w:jc w:val="both"/>
              <w:rPr>
                <w:color w:val="000000" w:themeColor="text1"/>
              </w:rPr>
            </w:pPr>
            <w:r>
              <w:rPr>
                <w:color w:val="000000" w:themeColor="text1"/>
              </w:rPr>
              <w:t>Tijekom sezone kupanja na službenim stranicama Grada Zagreba i Nastavnog zavoda objavljuju se sve pojedinačne ocjene za svaku točku uzorkovanja.</w:t>
            </w:r>
          </w:p>
          <w:p w14:paraId="3DE24E55" w14:textId="77777777" w:rsidR="00346CDF" w:rsidRDefault="00346CDF" w:rsidP="00346CDF">
            <w:pPr>
              <w:jc w:val="both"/>
              <w:rPr>
                <w:sz w:val="22"/>
                <w:szCs w:val="22"/>
              </w:rPr>
            </w:pPr>
          </w:p>
          <w:p w14:paraId="2DE3F57C" w14:textId="77777777" w:rsidR="00346CDF" w:rsidRPr="00040F42" w:rsidRDefault="00346CDF" w:rsidP="00CC0F6F">
            <w:pPr>
              <w:spacing w:after="160" w:line="259" w:lineRule="auto"/>
              <w:rPr>
                <w:b/>
                <w:bCs/>
              </w:rPr>
            </w:pPr>
          </w:p>
        </w:tc>
      </w:tr>
    </w:tbl>
    <w:p w14:paraId="3F03A68D" w14:textId="77777777" w:rsidR="00346CDF" w:rsidRPr="00F62D86" w:rsidRDefault="00346CDF" w:rsidP="00487368"/>
    <w:sectPr w:rsidR="00346CDF" w:rsidRPr="00F62D86" w:rsidSect="00C57758">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D6E2B"/>
    <w:multiLevelType w:val="multilevel"/>
    <w:tmpl w:val="7DB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B73D89"/>
    <w:multiLevelType w:val="hybridMultilevel"/>
    <w:tmpl w:val="FF9EEFD4"/>
    <w:lvl w:ilvl="0" w:tplc="319E07B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77107345">
    <w:abstractNumId w:val="1"/>
  </w:num>
  <w:num w:numId="2" w16cid:durableId="136132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368"/>
    <w:rsid w:val="00040F42"/>
    <w:rsid w:val="00126231"/>
    <w:rsid w:val="001B237F"/>
    <w:rsid w:val="00213B7F"/>
    <w:rsid w:val="0021407F"/>
    <w:rsid w:val="00244F2B"/>
    <w:rsid w:val="002A1BE0"/>
    <w:rsid w:val="002B40A1"/>
    <w:rsid w:val="002F37F4"/>
    <w:rsid w:val="00313306"/>
    <w:rsid w:val="00346CDF"/>
    <w:rsid w:val="003722CC"/>
    <w:rsid w:val="003F0443"/>
    <w:rsid w:val="00423E43"/>
    <w:rsid w:val="00446F4C"/>
    <w:rsid w:val="00485374"/>
    <w:rsid w:val="00487368"/>
    <w:rsid w:val="004F53B0"/>
    <w:rsid w:val="00535868"/>
    <w:rsid w:val="005961AD"/>
    <w:rsid w:val="005F5735"/>
    <w:rsid w:val="006542A2"/>
    <w:rsid w:val="006555AE"/>
    <w:rsid w:val="00696631"/>
    <w:rsid w:val="006A6D01"/>
    <w:rsid w:val="00706885"/>
    <w:rsid w:val="00757A99"/>
    <w:rsid w:val="00776E40"/>
    <w:rsid w:val="0079118D"/>
    <w:rsid w:val="007D1A77"/>
    <w:rsid w:val="007E71E0"/>
    <w:rsid w:val="00852E61"/>
    <w:rsid w:val="008E355F"/>
    <w:rsid w:val="00924301"/>
    <w:rsid w:val="00945009"/>
    <w:rsid w:val="009A5822"/>
    <w:rsid w:val="009B6CE1"/>
    <w:rsid w:val="009E0B1F"/>
    <w:rsid w:val="009E6C65"/>
    <w:rsid w:val="00AB25A6"/>
    <w:rsid w:val="00B2257E"/>
    <w:rsid w:val="00B464BA"/>
    <w:rsid w:val="00B53450"/>
    <w:rsid w:val="00B55005"/>
    <w:rsid w:val="00B801C5"/>
    <w:rsid w:val="00BC0F76"/>
    <w:rsid w:val="00BD029F"/>
    <w:rsid w:val="00BD75B8"/>
    <w:rsid w:val="00BF1632"/>
    <w:rsid w:val="00C16BF5"/>
    <w:rsid w:val="00C176A4"/>
    <w:rsid w:val="00C57758"/>
    <w:rsid w:val="00C60FB9"/>
    <w:rsid w:val="00C72EAB"/>
    <w:rsid w:val="00CA1C91"/>
    <w:rsid w:val="00CD26CB"/>
    <w:rsid w:val="00CE18FC"/>
    <w:rsid w:val="00CE1F69"/>
    <w:rsid w:val="00DC4D0E"/>
    <w:rsid w:val="00DD015E"/>
    <w:rsid w:val="00DD1EF3"/>
    <w:rsid w:val="00DE7197"/>
    <w:rsid w:val="00E76E24"/>
    <w:rsid w:val="00E85330"/>
    <w:rsid w:val="00F350BB"/>
    <w:rsid w:val="00F62D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E7849"/>
  <w15:chartTrackingRefBased/>
  <w15:docId w15:val="{755E90E3-4BB6-459F-9054-58DFE7F0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368"/>
    <w:rPr>
      <w:sz w:val="24"/>
      <w:szCs w:val="24"/>
    </w:rPr>
  </w:style>
  <w:style w:type="paragraph" w:styleId="Heading3">
    <w:name w:val="heading 3"/>
    <w:basedOn w:val="Normal"/>
    <w:link w:val="Heading3Char"/>
    <w:uiPriority w:val="9"/>
    <w:qFormat/>
    <w:rsid w:val="00C72EA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2D86"/>
    <w:rPr>
      <w:rFonts w:ascii="Segoe UI" w:hAnsi="Segoe UI" w:cs="Segoe UI"/>
      <w:sz w:val="18"/>
      <w:szCs w:val="18"/>
    </w:rPr>
  </w:style>
  <w:style w:type="character" w:customStyle="1" w:styleId="BalloonTextChar">
    <w:name w:val="Balloon Text Char"/>
    <w:basedOn w:val="DefaultParagraphFont"/>
    <w:link w:val="BalloonText"/>
    <w:rsid w:val="00F62D86"/>
    <w:rPr>
      <w:rFonts w:ascii="Segoe UI" w:hAnsi="Segoe UI" w:cs="Segoe UI"/>
      <w:sz w:val="18"/>
      <w:szCs w:val="18"/>
    </w:rPr>
  </w:style>
  <w:style w:type="character" w:styleId="CommentReference">
    <w:name w:val="annotation reference"/>
    <w:basedOn w:val="DefaultParagraphFont"/>
    <w:uiPriority w:val="99"/>
    <w:unhideWhenUsed/>
    <w:rsid w:val="004F53B0"/>
    <w:rPr>
      <w:sz w:val="16"/>
      <w:szCs w:val="16"/>
    </w:rPr>
  </w:style>
  <w:style w:type="paragraph" w:styleId="CommentText">
    <w:name w:val="annotation text"/>
    <w:basedOn w:val="Normal"/>
    <w:link w:val="CommentTextChar"/>
    <w:uiPriority w:val="99"/>
    <w:unhideWhenUsed/>
    <w:rsid w:val="004F53B0"/>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4F53B0"/>
    <w:rPr>
      <w:rFonts w:asciiTheme="minorHAnsi" w:eastAsiaTheme="minorHAnsi" w:hAnsiTheme="minorHAnsi" w:cstheme="minorBidi"/>
      <w:lang w:val="en-GB" w:eastAsia="en-US"/>
    </w:rPr>
  </w:style>
  <w:style w:type="character" w:styleId="Strong">
    <w:name w:val="Strong"/>
    <w:basedOn w:val="DefaultParagraphFont"/>
    <w:uiPriority w:val="22"/>
    <w:qFormat/>
    <w:rsid w:val="001B237F"/>
    <w:rPr>
      <w:b/>
      <w:bCs/>
    </w:rPr>
  </w:style>
  <w:style w:type="paragraph" w:styleId="FootnoteText">
    <w:name w:val="footnote text"/>
    <w:basedOn w:val="Normal"/>
    <w:link w:val="FootnoteTextChar"/>
    <w:unhideWhenUsed/>
    <w:rsid w:val="009E0B1F"/>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9E0B1F"/>
    <w:rPr>
      <w:rFonts w:ascii="Calibri" w:eastAsia="Calibri" w:hAnsi="Calibri"/>
      <w:lang w:eastAsia="en-US"/>
    </w:rPr>
  </w:style>
  <w:style w:type="character" w:customStyle="1" w:styleId="Heading3Char">
    <w:name w:val="Heading 3 Char"/>
    <w:basedOn w:val="DefaultParagraphFont"/>
    <w:link w:val="Heading3"/>
    <w:uiPriority w:val="9"/>
    <w:rsid w:val="00C72EAB"/>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78020">
      <w:bodyDiv w:val="1"/>
      <w:marLeft w:val="0"/>
      <w:marRight w:val="0"/>
      <w:marTop w:val="0"/>
      <w:marBottom w:val="0"/>
      <w:divBdr>
        <w:top w:val="none" w:sz="0" w:space="0" w:color="auto"/>
        <w:left w:val="none" w:sz="0" w:space="0" w:color="auto"/>
        <w:bottom w:val="none" w:sz="0" w:space="0" w:color="auto"/>
        <w:right w:val="none" w:sz="0" w:space="0" w:color="auto"/>
      </w:divBdr>
    </w:div>
    <w:div w:id="1427926422">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A7B9F-E2B7-44D5-ABCF-C9B5E793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1073</Words>
  <Characters>6118</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OBRAZAC</vt:lpstr>
      <vt:lpstr>OBRAZAC</vt:lpstr>
    </vt:vector>
  </TitlesOfParts>
  <Company>Grad Zagreb</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azenko</dc:creator>
  <cp:keywords/>
  <cp:lastModifiedBy>Tihana Zadro</cp:lastModifiedBy>
  <cp:revision>5</cp:revision>
  <cp:lastPrinted>2026-05-18T09:56:00Z</cp:lastPrinted>
  <dcterms:created xsi:type="dcterms:W3CDTF">2026-05-18T09:57:00Z</dcterms:created>
  <dcterms:modified xsi:type="dcterms:W3CDTF">2026-05-19T08:56:00Z</dcterms:modified>
</cp:coreProperties>
</file>